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05" w:rsidRPr="00D46A98" w:rsidRDefault="00111205" w:rsidP="00111205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D46A98">
        <w:rPr>
          <w:rFonts w:ascii="Arial" w:hAnsi="Arial" w:cs="Arial"/>
          <w:i/>
          <w:sz w:val="20"/>
          <w:szCs w:val="20"/>
        </w:rPr>
        <w:t xml:space="preserve">Załącznik nr </w:t>
      </w:r>
      <w:r w:rsidR="002E1535" w:rsidRPr="00D46A98">
        <w:rPr>
          <w:rFonts w:ascii="Arial" w:hAnsi="Arial" w:cs="Arial"/>
          <w:i/>
          <w:sz w:val="20"/>
          <w:szCs w:val="20"/>
        </w:rPr>
        <w:t>5</w:t>
      </w:r>
    </w:p>
    <w:p w:rsidR="00283206" w:rsidRDefault="00283206" w:rsidP="00283206">
      <w:pPr>
        <w:ind w:left="5664"/>
        <w:jc w:val="center"/>
        <w:rPr>
          <w:rFonts w:ascii="Arial" w:hAnsi="Arial" w:cs="Arial"/>
          <w:sz w:val="22"/>
          <w:szCs w:val="40"/>
        </w:rPr>
      </w:pPr>
    </w:p>
    <w:p w:rsidR="00283206" w:rsidRPr="00283206" w:rsidRDefault="00283206" w:rsidP="00283206">
      <w:pPr>
        <w:ind w:left="5664"/>
        <w:jc w:val="center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          </w:t>
      </w:r>
      <w:r w:rsidRPr="00283206">
        <w:rPr>
          <w:rFonts w:ascii="Arial" w:hAnsi="Arial" w:cs="Arial"/>
          <w:sz w:val="22"/>
          <w:szCs w:val="40"/>
        </w:rPr>
        <w:t>………………………………..</w:t>
      </w:r>
    </w:p>
    <w:p w:rsidR="00283206" w:rsidRPr="00283206" w:rsidRDefault="00283206" w:rsidP="00283206">
      <w:pPr>
        <w:ind w:left="5664"/>
        <w:jc w:val="center"/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sz w:val="18"/>
          <w:szCs w:val="40"/>
        </w:rPr>
        <w:t xml:space="preserve">       </w:t>
      </w:r>
      <w:r w:rsidRPr="00283206">
        <w:rPr>
          <w:rFonts w:ascii="Arial" w:hAnsi="Arial" w:cs="Arial"/>
          <w:sz w:val="18"/>
          <w:szCs w:val="40"/>
        </w:rPr>
        <w:t>(miejscowość, data)</w:t>
      </w:r>
    </w:p>
    <w:p w:rsidR="00961ED3" w:rsidRPr="00283206" w:rsidRDefault="00191BF8" w:rsidP="00191BF8">
      <w:pPr>
        <w:jc w:val="center"/>
        <w:rPr>
          <w:rFonts w:ascii="Arial" w:hAnsi="Arial" w:cs="Arial"/>
          <w:b/>
          <w:sz w:val="28"/>
          <w:szCs w:val="40"/>
        </w:rPr>
      </w:pPr>
      <w:r w:rsidRPr="00283206">
        <w:rPr>
          <w:rFonts w:ascii="Arial" w:hAnsi="Arial" w:cs="Arial"/>
          <w:b/>
          <w:szCs w:val="40"/>
        </w:rPr>
        <w:t>Wniosek</w:t>
      </w:r>
    </w:p>
    <w:p w:rsidR="00191BF8" w:rsidRPr="00D46A98" w:rsidRDefault="00191BF8" w:rsidP="00191BF8">
      <w:pPr>
        <w:jc w:val="center"/>
        <w:rPr>
          <w:rFonts w:ascii="Arial" w:hAnsi="Arial" w:cs="Arial"/>
          <w:sz w:val="28"/>
          <w:szCs w:val="28"/>
        </w:rPr>
      </w:pPr>
    </w:p>
    <w:p w:rsidR="00C76DEB" w:rsidRPr="00283206" w:rsidRDefault="00191BF8" w:rsidP="00191BF8">
      <w:p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Wnioskodawca</w:t>
      </w:r>
      <w:r w:rsidR="00D46A98" w:rsidRPr="00283206">
        <w:rPr>
          <w:rFonts w:ascii="Arial" w:hAnsi="Arial" w:cs="Arial"/>
          <w:sz w:val="20"/>
          <w:szCs w:val="22"/>
        </w:rPr>
        <w:t>…………………………………………………………………</w:t>
      </w:r>
      <w:r w:rsidR="00AD19F7" w:rsidRPr="00283206">
        <w:rPr>
          <w:rFonts w:ascii="Arial" w:hAnsi="Arial" w:cs="Arial"/>
          <w:sz w:val="20"/>
          <w:szCs w:val="22"/>
        </w:rPr>
        <w:t>…</w:t>
      </w:r>
      <w:r w:rsidR="00F11878" w:rsidRPr="00283206">
        <w:rPr>
          <w:rFonts w:ascii="Arial" w:hAnsi="Arial" w:cs="Arial"/>
          <w:sz w:val="20"/>
          <w:szCs w:val="22"/>
        </w:rPr>
        <w:t>……………………</w:t>
      </w:r>
      <w:r w:rsidR="00283206">
        <w:rPr>
          <w:rFonts w:ascii="Arial" w:hAnsi="Arial" w:cs="Arial"/>
          <w:sz w:val="20"/>
          <w:szCs w:val="22"/>
        </w:rPr>
        <w:t>………….</w:t>
      </w:r>
    </w:p>
    <w:p w:rsidR="00C76DEB" w:rsidRPr="00283206" w:rsidRDefault="00C76DEB" w:rsidP="00283206">
      <w:pPr>
        <w:jc w:val="center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(Nazwisko i imię)</w:t>
      </w:r>
    </w:p>
    <w:p w:rsidR="00C76DEB" w:rsidRPr="00283206" w:rsidRDefault="00C76DEB" w:rsidP="00C76DEB">
      <w:pPr>
        <w:jc w:val="center"/>
        <w:rPr>
          <w:rFonts w:ascii="Arial" w:hAnsi="Arial" w:cs="Arial"/>
          <w:sz w:val="20"/>
          <w:szCs w:val="22"/>
        </w:rPr>
      </w:pPr>
    </w:p>
    <w:p w:rsidR="00191BF8" w:rsidRPr="00283206" w:rsidRDefault="00191BF8" w:rsidP="00191BF8">
      <w:p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zam.…...…………</w:t>
      </w:r>
      <w:r w:rsidR="00D46A98" w:rsidRPr="00283206">
        <w:rPr>
          <w:rFonts w:ascii="Arial" w:hAnsi="Arial" w:cs="Arial"/>
          <w:sz w:val="20"/>
          <w:szCs w:val="22"/>
        </w:rPr>
        <w:t>…………………………………………………………........</w:t>
      </w:r>
      <w:r w:rsidR="00F11878" w:rsidRPr="00283206">
        <w:rPr>
          <w:rFonts w:ascii="Arial" w:hAnsi="Arial" w:cs="Arial"/>
          <w:sz w:val="20"/>
          <w:szCs w:val="22"/>
        </w:rPr>
        <w:t>...............................</w:t>
      </w:r>
      <w:r w:rsidR="00283206">
        <w:rPr>
          <w:rFonts w:ascii="Arial" w:hAnsi="Arial" w:cs="Arial"/>
          <w:sz w:val="20"/>
          <w:szCs w:val="22"/>
        </w:rPr>
        <w:t>..............</w:t>
      </w:r>
      <w:r w:rsidR="00F11878" w:rsidRPr="00283206">
        <w:rPr>
          <w:rFonts w:ascii="Arial" w:hAnsi="Arial" w:cs="Arial"/>
          <w:sz w:val="20"/>
          <w:szCs w:val="22"/>
        </w:rPr>
        <w:t>.</w:t>
      </w:r>
    </w:p>
    <w:p w:rsidR="00191BF8" w:rsidRPr="00283206" w:rsidRDefault="00C76DEB" w:rsidP="00C76DEB">
      <w:pPr>
        <w:jc w:val="center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(Adres)</w:t>
      </w:r>
    </w:p>
    <w:p w:rsidR="008770B5" w:rsidRPr="00283206" w:rsidRDefault="00191BF8" w:rsidP="00191BF8">
      <w:p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 xml:space="preserve">        jako:</w:t>
      </w:r>
    </w:p>
    <w:p w:rsidR="008770B5" w:rsidRPr="00283206" w:rsidRDefault="00191BF8" w:rsidP="00191BF8">
      <w:p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x/</w:t>
      </w:r>
    </w:p>
    <w:p w:rsidR="00191BF8" w:rsidRPr="00283206" w:rsidRDefault="00191BF8" w:rsidP="00C76D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Właściciel</w:t>
      </w:r>
    </w:p>
    <w:p w:rsidR="00191BF8" w:rsidRPr="00283206" w:rsidRDefault="00191BF8" w:rsidP="00C76D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Współwłaściciel</w:t>
      </w:r>
    </w:p>
    <w:p w:rsidR="00191BF8" w:rsidRPr="00283206" w:rsidRDefault="00191BF8" w:rsidP="00C76D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Posiadacz</w:t>
      </w:r>
    </w:p>
    <w:p w:rsidR="00191BF8" w:rsidRPr="00283206" w:rsidRDefault="00191BF8" w:rsidP="00C76D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>Zarządca</w:t>
      </w:r>
    </w:p>
    <w:p w:rsidR="00191BF8" w:rsidRPr="00283206" w:rsidRDefault="00191BF8" w:rsidP="00191BF8">
      <w:pPr>
        <w:jc w:val="both"/>
        <w:rPr>
          <w:rFonts w:ascii="Arial" w:hAnsi="Arial" w:cs="Arial"/>
          <w:sz w:val="20"/>
          <w:szCs w:val="22"/>
        </w:rPr>
      </w:pPr>
    </w:p>
    <w:p w:rsidR="00FF1B39" w:rsidRPr="00283206" w:rsidRDefault="00191BF8" w:rsidP="00B02E1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 xml:space="preserve">lasu położonego na działce </w:t>
      </w:r>
      <w:r w:rsidR="00A1470A" w:rsidRPr="00283206">
        <w:rPr>
          <w:rFonts w:ascii="Arial" w:hAnsi="Arial" w:cs="Arial"/>
          <w:sz w:val="20"/>
          <w:szCs w:val="22"/>
        </w:rPr>
        <w:t>nr ewidencyjny gruntu</w:t>
      </w:r>
      <w:r w:rsidRPr="00283206">
        <w:rPr>
          <w:rFonts w:ascii="Arial" w:hAnsi="Arial" w:cs="Arial"/>
          <w:sz w:val="20"/>
          <w:szCs w:val="22"/>
        </w:rPr>
        <w:t xml:space="preserve"> ………</w:t>
      </w:r>
      <w:r w:rsidR="001264AF">
        <w:rPr>
          <w:rFonts w:ascii="Arial" w:hAnsi="Arial" w:cs="Arial"/>
          <w:sz w:val="20"/>
          <w:szCs w:val="22"/>
        </w:rPr>
        <w:t>..</w:t>
      </w:r>
      <w:r w:rsidRPr="00283206">
        <w:rPr>
          <w:rFonts w:ascii="Arial" w:hAnsi="Arial" w:cs="Arial"/>
          <w:sz w:val="20"/>
          <w:szCs w:val="22"/>
        </w:rPr>
        <w:t>……</w:t>
      </w:r>
      <w:r w:rsidR="00D46A98" w:rsidRPr="00283206">
        <w:rPr>
          <w:rFonts w:ascii="Arial" w:hAnsi="Arial" w:cs="Arial"/>
          <w:sz w:val="20"/>
          <w:szCs w:val="22"/>
        </w:rPr>
        <w:t>………</w:t>
      </w:r>
      <w:r w:rsidR="001264AF">
        <w:rPr>
          <w:rFonts w:ascii="Arial" w:hAnsi="Arial" w:cs="Arial"/>
          <w:sz w:val="20"/>
          <w:szCs w:val="22"/>
        </w:rPr>
        <w:t>. we</w:t>
      </w:r>
      <w:r w:rsidR="00283206">
        <w:rPr>
          <w:rFonts w:ascii="Arial" w:hAnsi="Arial" w:cs="Arial"/>
          <w:sz w:val="20"/>
          <w:szCs w:val="22"/>
        </w:rPr>
        <w:t xml:space="preserve"> wsi …………………………</w:t>
      </w:r>
      <w:r w:rsidR="00B02E17">
        <w:rPr>
          <w:rFonts w:ascii="Arial" w:hAnsi="Arial" w:cs="Arial"/>
          <w:sz w:val="20"/>
          <w:szCs w:val="22"/>
        </w:rPr>
        <w:t xml:space="preserve"> w </w:t>
      </w:r>
      <w:r w:rsidRPr="00283206">
        <w:rPr>
          <w:rFonts w:ascii="Arial" w:hAnsi="Arial" w:cs="Arial"/>
          <w:sz w:val="20"/>
          <w:szCs w:val="22"/>
        </w:rPr>
        <w:t>gminie ………</w:t>
      </w:r>
      <w:r w:rsidR="00AD19F7" w:rsidRPr="00283206">
        <w:rPr>
          <w:rFonts w:ascii="Arial" w:hAnsi="Arial" w:cs="Arial"/>
          <w:sz w:val="20"/>
          <w:szCs w:val="22"/>
        </w:rPr>
        <w:t>.</w:t>
      </w:r>
      <w:r w:rsidRPr="00283206">
        <w:rPr>
          <w:rFonts w:ascii="Arial" w:hAnsi="Arial" w:cs="Arial"/>
          <w:sz w:val="20"/>
          <w:szCs w:val="22"/>
        </w:rPr>
        <w:t>………………</w:t>
      </w:r>
      <w:r w:rsidR="00AD19F7" w:rsidRPr="00283206">
        <w:rPr>
          <w:rFonts w:ascii="Arial" w:hAnsi="Arial" w:cs="Arial"/>
          <w:sz w:val="20"/>
          <w:szCs w:val="22"/>
        </w:rPr>
        <w:t>……</w:t>
      </w:r>
      <w:r w:rsidR="00D46A98" w:rsidRPr="00283206">
        <w:rPr>
          <w:rFonts w:ascii="Arial" w:hAnsi="Arial" w:cs="Arial"/>
          <w:sz w:val="20"/>
          <w:szCs w:val="22"/>
        </w:rPr>
        <w:t>…….</w:t>
      </w:r>
      <w:r w:rsidR="00283206">
        <w:rPr>
          <w:rFonts w:ascii="Arial" w:hAnsi="Arial" w:cs="Arial"/>
          <w:sz w:val="20"/>
          <w:szCs w:val="22"/>
        </w:rPr>
        <w:t>.</w:t>
      </w:r>
      <w:r w:rsidR="000A46AC" w:rsidRPr="00283206">
        <w:rPr>
          <w:rFonts w:ascii="Arial" w:hAnsi="Arial" w:cs="Arial"/>
          <w:sz w:val="20"/>
          <w:szCs w:val="22"/>
        </w:rPr>
        <w:t xml:space="preserve"> o </w:t>
      </w:r>
      <w:r w:rsidRPr="00283206">
        <w:rPr>
          <w:rFonts w:ascii="Arial" w:hAnsi="Arial" w:cs="Arial"/>
          <w:sz w:val="20"/>
          <w:szCs w:val="22"/>
        </w:rPr>
        <w:t>łącznej powierzchni …………………</w:t>
      </w:r>
      <w:r w:rsidR="00283206">
        <w:rPr>
          <w:rFonts w:ascii="Arial" w:hAnsi="Arial" w:cs="Arial"/>
          <w:sz w:val="20"/>
          <w:szCs w:val="22"/>
        </w:rPr>
        <w:t>…… ha proszę o </w:t>
      </w:r>
      <w:r w:rsidRPr="00283206">
        <w:rPr>
          <w:rFonts w:ascii="Arial" w:hAnsi="Arial" w:cs="Arial"/>
          <w:sz w:val="20"/>
          <w:szCs w:val="22"/>
        </w:rPr>
        <w:t>wydanie dokumentu stwierdzającego legalność pozyskanego drewna.</w:t>
      </w:r>
    </w:p>
    <w:p w:rsidR="00FF1B39" w:rsidRPr="00283206" w:rsidRDefault="00FF1B39" w:rsidP="00191BF8">
      <w:pPr>
        <w:jc w:val="both"/>
        <w:rPr>
          <w:rFonts w:ascii="Arial" w:hAnsi="Arial" w:cs="Arial"/>
          <w:sz w:val="20"/>
          <w:szCs w:val="22"/>
        </w:rPr>
      </w:pPr>
    </w:p>
    <w:p w:rsidR="00FF1B39" w:rsidRPr="00283206" w:rsidRDefault="00FF1B39" w:rsidP="00191BF8">
      <w:pPr>
        <w:jc w:val="both"/>
        <w:rPr>
          <w:rFonts w:ascii="Arial" w:hAnsi="Arial" w:cs="Arial"/>
          <w:sz w:val="20"/>
          <w:szCs w:val="22"/>
        </w:rPr>
      </w:pPr>
      <w:r w:rsidRPr="00283206">
        <w:rPr>
          <w:rFonts w:ascii="Arial" w:hAnsi="Arial" w:cs="Arial"/>
          <w:sz w:val="20"/>
          <w:szCs w:val="22"/>
        </w:rPr>
        <w:t xml:space="preserve">Jednocześnie oświadczam, że jestem świadomy odpowiedzialności karnej za fałszywe zeznania określone w artykule </w:t>
      </w:r>
      <w:r w:rsidRPr="00283206">
        <w:rPr>
          <w:rFonts w:ascii="Arial" w:hAnsi="Arial" w:cs="Arial"/>
          <w:i/>
          <w:sz w:val="20"/>
          <w:szCs w:val="22"/>
        </w:rPr>
        <w:t>233 Kodeksu Karnego</w:t>
      </w:r>
      <w:r w:rsidRPr="00283206">
        <w:rPr>
          <w:rFonts w:ascii="Arial" w:hAnsi="Arial" w:cs="Arial"/>
          <w:sz w:val="20"/>
          <w:szCs w:val="22"/>
        </w:rPr>
        <w:t xml:space="preserve"> odnośnie tytułu własności lasu określonego na wstępie wniosku</w:t>
      </w:r>
      <w:r w:rsidR="00C76DEB" w:rsidRPr="00283206">
        <w:rPr>
          <w:rFonts w:ascii="Arial" w:hAnsi="Arial" w:cs="Arial"/>
          <w:sz w:val="20"/>
          <w:szCs w:val="22"/>
        </w:rPr>
        <w:t>,</w:t>
      </w:r>
      <w:r w:rsidRPr="00283206">
        <w:rPr>
          <w:rFonts w:ascii="Arial" w:hAnsi="Arial" w:cs="Arial"/>
          <w:sz w:val="20"/>
          <w:szCs w:val="22"/>
        </w:rPr>
        <w:t xml:space="preserve"> oraz potwierdzam, że znam dokładny przebieg mojego lasu w terenie.</w:t>
      </w:r>
    </w:p>
    <w:p w:rsidR="00FF1B39" w:rsidRPr="00D46A98" w:rsidRDefault="00FF1B39" w:rsidP="00191BF8">
      <w:pPr>
        <w:jc w:val="both"/>
        <w:rPr>
          <w:rFonts w:ascii="Arial" w:hAnsi="Arial" w:cs="Arial"/>
          <w:sz w:val="28"/>
          <w:szCs w:val="28"/>
        </w:rPr>
      </w:pPr>
    </w:p>
    <w:p w:rsidR="00FF1B39" w:rsidRPr="00D46A98" w:rsidRDefault="00FF1B39" w:rsidP="00191BF8">
      <w:pPr>
        <w:jc w:val="both"/>
        <w:rPr>
          <w:rFonts w:ascii="Arial" w:hAnsi="Arial" w:cs="Arial"/>
          <w:sz w:val="20"/>
          <w:szCs w:val="20"/>
        </w:rPr>
      </w:pPr>
      <w:r w:rsidRPr="00D46A98">
        <w:rPr>
          <w:rFonts w:ascii="Arial" w:hAnsi="Arial" w:cs="Arial"/>
          <w:sz w:val="20"/>
          <w:szCs w:val="20"/>
        </w:rPr>
        <w:t xml:space="preserve">x/ - </w:t>
      </w:r>
      <w:r w:rsidR="00C76DEB" w:rsidRPr="00D46A98">
        <w:rPr>
          <w:rFonts w:ascii="Arial" w:hAnsi="Arial" w:cs="Arial"/>
          <w:sz w:val="20"/>
          <w:szCs w:val="20"/>
        </w:rPr>
        <w:t>właściwe zakreślić</w:t>
      </w:r>
    </w:p>
    <w:p w:rsidR="00FF1B39" w:rsidRPr="00F11878" w:rsidRDefault="00AD19F7" w:rsidP="00FF1B39">
      <w:pPr>
        <w:jc w:val="right"/>
        <w:rPr>
          <w:rFonts w:ascii="Arial" w:hAnsi="Arial" w:cs="Arial"/>
          <w:sz w:val="22"/>
          <w:szCs w:val="22"/>
        </w:rPr>
      </w:pPr>
      <w:r w:rsidRPr="00F11878">
        <w:rPr>
          <w:rFonts w:ascii="Arial" w:hAnsi="Arial" w:cs="Arial"/>
          <w:sz w:val="22"/>
          <w:szCs w:val="22"/>
        </w:rPr>
        <w:t>…..……………………</w:t>
      </w:r>
      <w:r w:rsidR="00F11878">
        <w:rPr>
          <w:rFonts w:ascii="Arial" w:hAnsi="Arial" w:cs="Arial"/>
          <w:sz w:val="22"/>
          <w:szCs w:val="22"/>
        </w:rPr>
        <w:t>……..</w:t>
      </w:r>
      <w:r w:rsidRPr="00F11878">
        <w:rPr>
          <w:rFonts w:ascii="Arial" w:hAnsi="Arial" w:cs="Arial"/>
          <w:sz w:val="22"/>
          <w:szCs w:val="22"/>
        </w:rPr>
        <w:t>……</w:t>
      </w:r>
      <w:r w:rsidR="00FF1B39" w:rsidRPr="00F11878">
        <w:rPr>
          <w:rFonts w:ascii="Arial" w:hAnsi="Arial" w:cs="Arial"/>
          <w:sz w:val="22"/>
          <w:szCs w:val="22"/>
        </w:rPr>
        <w:t>.</w:t>
      </w:r>
    </w:p>
    <w:p w:rsidR="00C76DEB" w:rsidRPr="00D46A98" w:rsidRDefault="00FF1B39" w:rsidP="00C76DEB">
      <w:pPr>
        <w:rPr>
          <w:rFonts w:ascii="Arial" w:hAnsi="Arial" w:cs="Arial"/>
          <w:sz w:val="20"/>
          <w:szCs w:val="20"/>
        </w:rPr>
      </w:pPr>
      <w:r w:rsidRPr="00D46A9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C76DEB" w:rsidRPr="00D46A98">
        <w:rPr>
          <w:rFonts w:ascii="Arial" w:hAnsi="Arial" w:cs="Arial"/>
          <w:sz w:val="20"/>
          <w:szCs w:val="20"/>
        </w:rPr>
        <w:t xml:space="preserve">        </w:t>
      </w:r>
      <w:r w:rsidR="00D46A98">
        <w:rPr>
          <w:rFonts w:ascii="Arial" w:hAnsi="Arial" w:cs="Arial"/>
          <w:sz w:val="20"/>
          <w:szCs w:val="20"/>
        </w:rPr>
        <w:t xml:space="preserve">                          </w:t>
      </w:r>
      <w:r w:rsidR="00283206">
        <w:rPr>
          <w:rFonts w:ascii="Arial" w:hAnsi="Arial" w:cs="Arial"/>
          <w:sz w:val="20"/>
          <w:szCs w:val="20"/>
        </w:rPr>
        <w:t xml:space="preserve">  </w:t>
      </w:r>
      <w:r w:rsidRPr="00D46A98">
        <w:rPr>
          <w:rFonts w:ascii="Arial" w:hAnsi="Arial" w:cs="Arial"/>
          <w:sz w:val="20"/>
          <w:szCs w:val="20"/>
        </w:rPr>
        <w:t xml:space="preserve"> </w:t>
      </w:r>
      <w:r w:rsidRPr="00283206">
        <w:rPr>
          <w:rFonts w:ascii="Arial" w:hAnsi="Arial" w:cs="Arial"/>
          <w:sz w:val="18"/>
          <w:szCs w:val="20"/>
        </w:rPr>
        <w:t>(Podpis wnioskodawcy)</w:t>
      </w:r>
      <w:r w:rsidR="00191BF8" w:rsidRPr="00283206">
        <w:rPr>
          <w:rFonts w:ascii="Arial" w:hAnsi="Arial" w:cs="Arial"/>
          <w:sz w:val="18"/>
          <w:szCs w:val="20"/>
        </w:rPr>
        <w:t xml:space="preserve"> </w:t>
      </w:r>
    </w:p>
    <w:p w:rsidR="00D46A98" w:rsidRDefault="00D46A98" w:rsidP="00C76DE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3206" w:rsidRPr="00283206" w:rsidRDefault="00283206" w:rsidP="00283206">
      <w:pPr>
        <w:jc w:val="center"/>
        <w:rPr>
          <w:rFonts w:ascii="Arial" w:hAnsi="Arial" w:cs="Arial"/>
          <w:b/>
          <w:bCs/>
          <w:sz w:val="20"/>
          <w:szCs w:val="28"/>
        </w:rPr>
      </w:pPr>
      <w:r w:rsidRPr="00283206">
        <w:rPr>
          <w:rFonts w:ascii="Arial" w:hAnsi="Arial" w:cs="Arial"/>
          <w:b/>
          <w:bCs/>
          <w:color w:val="000000"/>
          <w:sz w:val="20"/>
          <w:szCs w:val="28"/>
        </w:rPr>
        <w:t>Rozdział XXX</w:t>
      </w:r>
      <w:r w:rsidRPr="00283206">
        <w:rPr>
          <w:rFonts w:ascii="Arial" w:hAnsi="Arial" w:cs="Arial"/>
          <w:b/>
          <w:bCs/>
          <w:color w:val="000000"/>
          <w:sz w:val="20"/>
          <w:szCs w:val="28"/>
        </w:rPr>
        <w:br/>
        <w:t xml:space="preserve">Przestępstwa </w:t>
      </w:r>
      <w:r w:rsidRPr="00283206">
        <w:rPr>
          <w:rFonts w:ascii="Arial" w:hAnsi="Arial" w:cs="Arial"/>
          <w:b/>
          <w:bCs/>
          <w:sz w:val="20"/>
          <w:szCs w:val="28"/>
        </w:rPr>
        <w:t>przeciwko wymiarowi sprawiedliwości</w:t>
      </w:r>
    </w:p>
    <w:p w:rsidR="00283206" w:rsidRPr="00D46A98" w:rsidRDefault="00283206" w:rsidP="002832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sz w:val="18"/>
        </w:rPr>
      </w:pPr>
      <w:r w:rsidRPr="00283206">
        <w:rPr>
          <w:rFonts w:ascii="Arial" w:hAnsi="Arial" w:cs="Arial"/>
          <w:b/>
          <w:bCs/>
          <w:sz w:val="18"/>
        </w:rPr>
        <w:t>Art. 232. § 1.</w:t>
      </w:r>
      <w:r w:rsidRPr="00283206">
        <w:rPr>
          <w:rFonts w:ascii="Arial" w:hAnsi="Arial" w:cs="Arial"/>
          <w:sz w:val="18"/>
        </w:rPr>
        <w:t xml:space="preserve"> Kto przemocą lub </w:t>
      </w:r>
      <w:hyperlink r:id="rId7" w:anchor="LPA-LP_QL:[{&quot;lo_query_json&quot;:&quot;[\&quot;or\&quot;,[\&quot;eql\&quot;,\&quot;I_PUBLIKATOR\&quot;,\&quot;DzU19970880553\&quot;],[\&quot;and\&quot;,[\&quot;and\&quot;,[\&quot;eql\&quot;,\&quot;NR_PUBLIKATOR\&quot;,\&quot;DzU19970880553\&quot;],[\&quot;eql\&quot;,\&quot;NR_ZALACZNIK\&quot;,0]],[\&quot;string_eql\&quot;,\&quot;NR_ART_PAR\&quot;,\&quot;o115\&quot;,null,null]]]&quot;,&quot;db_name&quot;:&quot;lp&quot;,&quot;act_hit" w:history="1">
        <w:r w:rsidRPr="00283206">
          <w:rPr>
            <w:rFonts w:ascii="Arial" w:hAnsi="Arial" w:cs="Arial"/>
            <w:sz w:val="18"/>
          </w:rPr>
          <w:t>groźbą bezprawną</w:t>
        </w:r>
      </w:hyperlink>
      <w:r w:rsidRPr="00283206">
        <w:rPr>
          <w:rFonts w:ascii="Arial" w:hAnsi="Arial" w:cs="Arial"/>
          <w:sz w:val="18"/>
        </w:rPr>
        <w:t xml:space="preserve"> wywiera wpływ na czynności urzędowe sądu,  podlega karze pozbawienia wolności od 3 miesięcy do lat 5.   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sz w:val="18"/>
        </w:rPr>
      </w:pPr>
      <w:r w:rsidRPr="00283206">
        <w:rPr>
          <w:rFonts w:ascii="Arial" w:hAnsi="Arial" w:cs="Arial"/>
          <w:b/>
          <w:bCs/>
          <w:sz w:val="18"/>
        </w:rPr>
        <w:t>§ 2.</w:t>
      </w:r>
      <w:r w:rsidRPr="00283206">
        <w:rPr>
          <w:rFonts w:ascii="Arial" w:hAnsi="Arial" w:cs="Arial"/>
          <w:sz w:val="18"/>
        </w:rPr>
        <w:t xml:space="preserve"> Tej samej karze podlega sprawca przestępstwa określonego w § 1, popełnionego na szkodę międzynarodowego trybunału karnego lub jego organu działającego na podstawie umowy międzynarodowej, której Rzeczpospolita Polska jest stroną, albo powołanego przez organizację międzynarodową ukonstytuowaną umową ratyfikowaną przez Rzeczpospolitą Polską. 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sz w:val="18"/>
        </w:rPr>
      </w:pPr>
      <w:r w:rsidRPr="00283206">
        <w:rPr>
          <w:rFonts w:ascii="Arial" w:hAnsi="Arial" w:cs="Arial"/>
          <w:b/>
          <w:bCs/>
          <w:sz w:val="18"/>
        </w:rPr>
        <w:t>Art. 233. § 1. </w:t>
      </w:r>
      <w:r w:rsidRPr="00283206">
        <w:rPr>
          <w:rFonts w:ascii="Arial" w:hAnsi="Arial" w:cs="Arial"/>
          <w:sz w:val="18"/>
        </w:rPr>
        <w:t xml:space="preserve">Kto, składając zeznanie mające służyć za dowód w postępowaniu sądowym lub w innym postępowaniu prowadzonym na podstawie ustawy, zeznaje nieprawdę lub zataja prawdę,  podlega karze pozbawienia wolności do lat 3.   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sz w:val="18"/>
        </w:rPr>
      </w:pPr>
      <w:r w:rsidRPr="00283206">
        <w:rPr>
          <w:rFonts w:ascii="Arial" w:hAnsi="Arial" w:cs="Arial"/>
          <w:b/>
          <w:bCs/>
          <w:sz w:val="18"/>
        </w:rPr>
        <w:t>§ 2. </w:t>
      </w:r>
      <w:r w:rsidRPr="00283206">
        <w:rPr>
          <w:rFonts w:ascii="Arial" w:hAnsi="Arial" w:cs="Arial"/>
          <w:sz w:val="18"/>
        </w:rPr>
        <w:t>Warunkiem odpowiedzialności jest, aby przyjmujący zeznanie, działając w zakresie swoich uprawnień, uprzedził zeznającego o odpowiedzialności karnej za fałszywe zeznanie lub odebrał od niego przyrzeczenie.  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sz w:val="18"/>
        </w:rPr>
      </w:pPr>
      <w:r w:rsidRPr="00283206">
        <w:rPr>
          <w:rFonts w:ascii="Arial" w:hAnsi="Arial" w:cs="Arial"/>
          <w:b/>
          <w:bCs/>
          <w:sz w:val="18"/>
        </w:rPr>
        <w:t>§ 3. </w:t>
      </w:r>
      <w:r w:rsidRPr="00283206">
        <w:rPr>
          <w:rFonts w:ascii="Arial" w:hAnsi="Arial" w:cs="Arial"/>
          <w:sz w:val="18"/>
        </w:rPr>
        <w:t>Nie podlega karze, kto, nie wiedząc o prawie odmowy zeznania lub odpowiedzi na pytania, składa fałszywe zeznanie z obawy przed odpowiedzialnością karną grożącą jemu samemu lub jego najbliższym.  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sz w:val="18"/>
        </w:rPr>
      </w:pPr>
      <w:r w:rsidRPr="00283206">
        <w:rPr>
          <w:rFonts w:ascii="Arial" w:hAnsi="Arial" w:cs="Arial"/>
          <w:b/>
          <w:bCs/>
          <w:sz w:val="18"/>
        </w:rPr>
        <w:t>§ 4. </w:t>
      </w:r>
      <w:r w:rsidRPr="00283206">
        <w:rPr>
          <w:rFonts w:ascii="Arial" w:hAnsi="Arial" w:cs="Arial"/>
          <w:sz w:val="18"/>
        </w:rPr>
        <w:t>Kto, jako biegły, rzeczoznawca lub tłumacz, przedstawia fałszywą opinię lub tłumaczenie mające służyć za dowód w postępowaniu określonym w § 1,  podlega karze pozbawienia wolności do lat 3.  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color w:val="000000"/>
          <w:sz w:val="18"/>
        </w:rPr>
      </w:pPr>
      <w:r w:rsidRPr="00283206">
        <w:rPr>
          <w:rFonts w:ascii="Arial" w:hAnsi="Arial" w:cs="Arial"/>
          <w:b/>
          <w:bCs/>
          <w:sz w:val="18"/>
        </w:rPr>
        <w:t>§ 5. </w:t>
      </w:r>
      <w:r w:rsidRPr="00283206">
        <w:rPr>
          <w:rFonts w:ascii="Arial" w:hAnsi="Arial" w:cs="Arial"/>
          <w:sz w:val="18"/>
        </w:rPr>
        <w:t xml:space="preserve">Sąd może zastosować </w:t>
      </w:r>
      <w:hyperlink r:id="rId8" w:anchor="LPA-LP_QL:[{&quot;lo_query_json&quot;:&quot;[\&quot;or\&quot;,[\&quot;eql\&quot;,\&quot;I_PUBLIKATOR\&quot;,\&quot;DzU19970880553\&quot;],[\&quot;and\&quot;,[\&quot;and\&quot;,[\&quot;eql\&quot;,\&quot;NR_PUBLIKATOR\&quot;,\&quot;DzU19970880553\&quot;],[\&quot;eql\&quot;,\&quot;NR_ZALACZNIK\&quot;,0]],[\&quot;string_eql\&quot;,\&quot;NR_ART_PAR\&quot;,\&quot;o60\&quot;,null,null]]]&quot;,&quot;db_name&quot;:&quot;lp&quot;,&quot;act_hits" w:history="1">
        <w:r w:rsidRPr="00283206">
          <w:rPr>
            <w:rFonts w:ascii="Arial" w:hAnsi="Arial" w:cs="Arial"/>
            <w:sz w:val="18"/>
          </w:rPr>
          <w:t>nadzwyczajne złagodzenie kary</w:t>
        </w:r>
      </w:hyperlink>
      <w:r w:rsidRPr="00283206">
        <w:rPr>
          <w:rFonts w:ascii="Arial" w:hAnsi="Arial" w:cs="Arial"/>
          <w:sz w:val="18"/>
        </w:rPr>
        <w:t xml:space="preserve">, a nawet </w:t>
      </w:r>
      <w:hyperlink r:id="rId9" w:anchor="LPA-LP_QL:[{&quot;lo_query_json&quot;:&quot;[\&quot;or\&quot;,[\&quot;eql\&quot;,\&quot;I_PUBLIKATOR\&quot;,\&quot;DzU19970880553\&quot;],[\&quot;and\&quot;,[\&quot;and\&quot;,[\&quot;eql\&quot;,\&quot;NR_PUBLIKATOR\&quot;,\&quot;DzU19970880553\&quot;],[\&quot;eql\&quot;,\&quot;NR_ZALACZNIK\&quot;,0]],[\&quot;string_eql\&quot;,\&quot;NR_ART_PAR\&quot;,\&quot;o61\&quot;,null,null]]]&quot;,&quot;db_name&quot;:&quot;lp&quot;,&quot;act_hits" w:history="1">
        <w:r w:rsidRPr="00283206">
          <w:rPr>
            <w:rFonts w:ascii="Arial" w:hAnsi="Arial" w:cs="Arial"/>
            <w:sz w:val="18"/>
          </w:rPr>
          <w:t>odstąpić</w:t>
        </w:r>
      </w:hyperlink>
      <w:r w:rsidRPr="00283206">
        <w:rPr>
          <w:rFonts w:ascii="Arial" w:hAnsi="Arial" w:cs="Arial"/>
          <w:sz w:val="18"/>
        </w:rPr>
        <w:t xml:space="preserve"> od jej</w:t>
      </w:r>
      <w:r w:rsidRPr="00283206">
        <w:rPr>
          <w:rFonts w:ascii="Arial" w:hAnsi="Arial" w:cs="Arial"/>
          <w:color w:val="000000"/>
          <w:sz w:val="18"/>
        </w:rPr>
        <w:t xml:space="preserve"> wymierzenia, jeżeli:   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color w:val="000000"/>
          <w:sz w:val="18"/>
        </w:rPr>
      </w:pPr>
      <w:r w:rsidRPr="00283206">
        <w:rPr>
          <w:rFonts w:ascii="Arial" w:hAnsi="Arial" w:cs="Arial"/>
          <w:b/>
          <w:bCs/>
          <w:color w:val="000000"/>
          <w:sz w:val="18"/>
        </w:rPr>
        <w:t>1) </w:t>
      </w:r>
      <w:r w:rsidRPr="00283206">
        <w:rPr>
          <w:rFonts w:ascii="Arial" w:hAnsi="Arial" w:cs="Arial"/>
          <w:color w:val="000000"/>
          <w:sz w:val="18"/>
        </w:rPr>
        <w:t>fałszywe zeznanie, opinia lub tłumaczenie dotyczy okoliczności nie mogących mieć wpływu na rozstrzygnięcie sprawy,  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color w:val="000000"/>
          <w:sz w:val="18"/>
        </w:rPr>
      </w:pPr>
      <w:r w:rsidRPr="00283206">
        <w:rPr>
          <w:rFonts w:ascii="Arial" w:hAnsi="Arial" w:cs="Arial"/>
          <w:b/>
          <w:bCs/>
          <w:color w:val="000000"/>
          <w:sz w:val="18"/>
        </w:rPr>
        <w:t>2) </w:t>
      </w:r>
      <w:r w:rsidRPr="00283206">
        <w:rPr>
          <w:rFonts w:ascii="Arial" w:hAnsi="Arial" w:cs="Arial"/>
          <w:color w:val="000000"/>
          <w:sz w:val="18"/>
        </w:rPr>
        <w:t>sprawca dobrowolnie sprostuje fałszywe zeznanie, opinię lub tłumaczenie, zanim nastąpi, chociażby nieprawomocne, rozstrzygnięcie sprawy.  </w:t>
      </w:r>
    </w:p>
    <w:p w:rsidR="00283206" w:rsidRPr="00283206" w:rsidRDefault="00283206" w:rsidP="00283206">
      <w:pPr>
        <w:ind w:firstLine="480"/>
        <w:jc w:val="both"/>
        <w:rPr>
          <w:rFonts w:ascii="Arial" w:hAnsi="Arial" w:cs="Arial"/>
          <w:color w:val="000000"/>
          <w:sz w:val="18"/>
        </w:rPr>
      </w:pPr>
      <w:r w:rsidRPr="00283206">
        <w:rPr>
          <w:rFonts w:ascii="Arial" w:hAnsi="Arial" w:cs="Arial"/>
          <w:b/>
          <w:bCs/>
          <w:color w:val="000000"/>
          <w:sz w:val="18"/>
        </w:rPr>
        <w:t>§ 6. </w:t>
      </w:r>
      <w:r w:rsidRPr="00283206">
        <w:rPr>
          <w:rFonts w:ascii="Arial" w:hAnsi="Arial" w:cs="Arial"/>
          <w:color w:val="000000"/>
          <w:sz w:val="18"/>
        </w:rPr>
        <w:t xml:space="preserve">Przepisy § 1-3 oraz 5 stosuje się odpowiednio do osoby, która składa fałszywe oświadczenie, jeżeli przepis ustawy przewiduje możliwość odebrania oświadczenia pod rygorem odpowiedzialności karnej. </w:t>
      </w:r>
    </w:p>
    <w:p w:rsidR="00283206" w:rsidRDefault="00283206" w:rsidP="00283206">
      <w:pPr>
        <w:rPr>
          <w:rFonts w:ascii="Arial" w:hAnsi="Arial" w:cs="Arial"/>
          <w:b/>
          <w:i/>
          <w:szCs w:val="20"/>
        </w:rPr>
      </w:pPr>
    </w:p>
    <w:p w:rsidR="005F5BCA" w:rsidRDefault="001264AF" w:rsidP="00AA3439">
      <w:pPr>
        <w:spacing w:line="276" w:lineRule="auto"/>
        <w:ind w:firstLine="397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column"/>
      </w:r>
      <w:r w:rsidR="005F5BCA" w:rsidRPr="00FD5D13">
        <w:rPr>
          <w:rFonts w:ascii="Arial" w:hAnsi="Arial" w:cs="Arial"/>
          <w:b/>
          <w:i/>
          <w:szCs w:val="20"/>
        </w:rPr>
        <w:lastRenderedPageBreak/>
        <w:t>Klauzula informacyjna</w:t>
      </w:r>
    </w:p>
    <w:p w:rsidR="005F5BCA" w:rsidRPr="00FD5D13" w:rsidRDefault="005F5BCA" w:rsidP="005F5BCA">
      <w:pPr>
        <w:jc w:val="center"/>
        <w:rPr>
          <w:rFonts w:ascii="Arial" w:hAnsi="Arial" w:cs="Arial"/>
          <w:b/>
          <w:i/>
          <w:szCs w:val="20"/>
        </w:rPr>
      </w:pPr>
    </w:p>
    <w:p w:rsidR="005F5BCA" w:rsidRPr="005F5BCA" w:rsidRDefault="005F5BCA" w:rsidP="007323D9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 xml:space="preserve">Zgodnie z art. 13 ust. 1−2 rozporządzenia Parlamentu Europejskiego i Rady </w:t>
      </w:r>
      <w:r>
        <w:rPr>
          <w:rFonts w:ascii="Arial" w:hAnsi="Arial" w:cs="Arial"/>
          <w:sz w:val="20"/>
          <w:szCs w:val="20"/>
        </w:rPr>
        <w:t>(UE) 2016/679 z </w:t>
      </w:r>
      <w:r w:rsidRPr="005F5BCA">
        <w:rPr>
          <w:rFonts w:ascii="Arial" w:hAnsi="Arial" w:cs="Arial"/>
          <w:sz w:val="20"/>
          <w:szCs w:val="20"/>
        </w:rPr>
        <w:t>27.04.2016 r. w sprawie ochrony osób fizycznych w związku z pr</w:t>
      </w:r>
      <w:r>
        <w:rPr>
          <w:rFonts w:ascii="Arial" w:hAnsi="Arial" w:cs="Arial"/>
          <w:sz w:val="20"/>
          <w:szCs w:val="20"/>
        </w:rPr>
        <w:t>zetwarzaniem danych osobowych i </w:t>
      </w:r>
      <w:r w:rsidRPr="005F5BCA">
        <w:rPr>
          <w:rFonts w:ascii="Arial" w:hAnsi="Arial" w:cs="Arial"/>
          <w:sz w:val="20"/>
          <w:szCs w:val="20"/>
        </w:rPr>
        <w:t>w sprawie swobodnego przepływu takich danych oraz uchylenia dyrektywy 95/46/WE (ogólne rozporządzenie o ochronie danych) (Dz.Urz. UE L 119, s. 1) – dalej RODO − informujemy, że: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b/>
          <w:sz w:val="20"/>
          <w:szCs w:val="20"/>
        </w:rPr>
        <w:t xml:space="preserve">Administratorem </w:t>
      </w:r>
      <w:r w:rsidRPr="005F5BCA">
        <w:rPr>
          <w:rFonts w:ascii="Arial" w:hAnsi="Arial" w:cs="Arial"/>
          <w:sz w:val="20"/>
          <w:szCs w:val="20"/>
        </w:rPr>
        <w:t>Pani/Pana</w:t>
      </w:r>
      <w:r w:rsidRPr="005F5BCA">
        <w:rPr>
          <w:rFonts w:ascii="Arial" w:hAnsi="Arial" w:cs="Arial"/>
          <w:b/>
          <w:sz w:val="20"/>
          <w:szCs w:val="20"/>
        </w:rPr>
        <w:t xml:space="preserve"> </w:t>
      </w:r>
      <w:r w:rsidRPr="005F5BCA">
        <w:rPr>
          <w:rFonts w:ascii="Arial" w:hAnsi="Arial" w:cs="Arial"/>
          <w:sz w:val="20"/>
          <w:szCs w:val="20"/>
        </w:rPr>
        <w:t>danych osobowych jest Starosta Powiatu Mieleckiego z siedzibą przy ul. Wyspiańskiego 6, 39-300 Mielec, zwany dalej Administratorem. Administrator prowadzi operacje przetwarzania Pani/Pana danych osobowych.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>Z</w:t>
      </w:r>
      <w:r w:rsidRPr="005F5BCA">
        <w:rPr>
          <w:rFonts w:ascii="Arial" w:hAnsi="Arial" w:cs="Arial"/>
          <w:b/>
          <w:sz w:val="20"/>
          <w:szCs w:val="20"/>
        </w:rPr>
        <w:t xml:space="preserve"> Inspektorem Ochrony Danych</w:t>
      </w:r>
      <w:r w:rsidRPr="005F5BCA">
        <w:rPr>
          <w:rFonts w:ascii="Arial" w:hAnsi="Arial" w:cs="Arial"/>
          <w:sz w:val="20"/>
          <w:szCs w:val="20"/>
        </w:rPr>
        <w:t xml:space="preserve"> u Administratora można skontaktować się elektronicznie pod adresem e-mail: </w:t>
      </w:r>
      <w:hyperlink r:id="rId10" w:history="1">
        <w:r w:rsidRPr="005F5BCA">
          <w:rPr>
            <w:rStyle w:val="Hipercze"/>
            <w:rFonts w:ascii="Arial" w:hAnsi="Arial" w:cs="Arial"/>
            <w:sz w:val="20"/>
            <w:szCs w:val="20"/>
          </w:rPr>
          <w:t>iodo@powiat-mielecki.pl</w:t>
        </w:r>
      </w:hyperlink>
      <w:r w:rsidRPr="005F5BCA">
        <w:rPr>
          <w:rFonts w:ascii="Arial" w:hAnsi="Arial" w:cs="Arial"/>
          <w:sz w:val="20"/>
          <w:szCs w:val="20"/>
        </w:rPr>
        <w:t>, telefonicznie: 17 78 00 487</w:t>
      </w:r>
      <w:r w:rsidRPr="005F5B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5BCA">
        <w:rPr>
          <w:rFonts w:ascii="Arial" w:hAnsi="Arial" w:cs="Arial"/>
          <w:sz w:val="20"/>
          <w:szCs w:val="20"/>
        </w:rPr>
        <w:t>lub osobiście w siedzibie Administratora.</w:t>
      </w:r>
    </w:p>
    <w:p w:rsidR="005F5BCA" w:rsidRPr="007323D9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323D9">
        <w:rPr>
          <w:rFonts w:ascii="Arial" w:hAnsi="Arial" w:cs="Arial"/>
          <w:sz w:val="20"/>
          <w:szCs w:val="20"/>
        </w:rPr>
        <w:t>Pani/Pana dane osobowe będą przetwarzane</w:t>
      </w:r>
      <w:r w:rsidRPr="007323D9">
        <w:rPr>
          <w:rFonts w:ascii="Arial" w:hAnsi="Arial" w:cs="Arial"/>
          <w:b/>
          <w:sz w:val="20"/>
          <w:szCs w:val="20"/>
        </w:rPr>
        <w:t xml:space="preserve"> </w:t>
      </w:r>
      <w:r w:rsidRPr="007323D9">
        <w:rPr>
          <w:rFonts w:ascii="Arial" w:hAnsi="Arial" w:cs="Arial"/>
          <w:sz w:val="20"/>
          <w:szCs w:val="20"/>
        </w:rPr>
        <w:t>w celu wypełnienia obowiązku w przepisach prawa polegającego na uzyskaniu decyzji o wyrażenie zgody na pozyskanie drewna w lesie niestanowiącym własności skarbu państwa</w:t>
      </w:r>
      <w:r w:rsidRPr="007323D9">
        <w:rPr>
          <w:rFonts w:ascii="Arial" w:eastAsia="Batang" w:hAnsi="Arial" w:cs="Arial"/>
          <w:sz w:val="20"/>
          <w:szCs w:val="20"/>
        </w:rPr>
        <w:t xml:space="preserve">, </w:t>
      </w:r>
      <w:r w:rsidR="006B64C7" w:rsidRPr="007323D9">
        <w:rPr>
          <w:rFonts w:ascii="Arial" w:eastAsia="Batang" w:hAnsi="Arial" w:cs="Arial"/>
          <w:sz w:val="20"/>
          <w:szCs w:val="20"/>
        </w:rPr>
        <w:t>o której mowa w art. 23 ust. 4</w:t>
      </w:r>
      <w:r w:rsidRPr="007323D9">
        <w:rPr>
          <w:rFonts w:ascii="Arial" w:eastAsia="Batang" w:hAnsi="Arial" w:cs="Arial"/>
          <w:sz w:val="20"/>
          <w:szCs w:val="20"/>
        </w:rPr>
        <w:t xml:space="preserve"> ustawy z dnia 28 wrześni</w:t>
      </w:r>
      <w:r w:rsidR="00306935" w:rsidRPr="007323D9">
        <w:rPr>
          <w:rFonts w:ascii="Arial" w:eastAsia="Batang" w:hAnsi="Arial" w:cs="Arial"/>
          <w:sz w:val="20"/>
          <w:szCs w:val="20"/>
        </w:rPr>
        <w:t>a 1991 r o lasach (tj. Dz.U.202</w:t>
      </w:r>
      <w:r w:rsidR="001402D6">
        <w:rPr>
          <w:rFonts w:ascii="Arial" w:eastAsia="Batang" w:hAnsi="Arial" w:cs="Arial"/>
          <w:sz w:val="20"/>
          <w:szCs w:val="20"/>
        </w:rPr>
        <w:t>2</w:t>
      </w:r>
      <w:r w:rsidR="00306935" w:rsidRPr="007323D9">
        <w:rPr>
          <w:rFonts w:ascii="Arial" w:eastAsia="Batang" w:hAnsi="Arial" w:cs="Arial"/>
          <w:sz w:val="20"/>
          <w:szCs w:val="20"/>
        </w:rPr>
        <w:t>.</w:t>
      </w:r>
      <w:r w:rsidR="001402D6">
        <w:rPr>
          <w:rFonts w:ascii="Arial" w:eastAsia="Batang" w:hAnsi="Arial" w:cs="Arial"/>
          <w:sz w:val="20"/>
          <w:szCs w:val="20"/>
        </w:rPr>
        <w:t xml:space="preserve"> poz. 672</w:t>
      </w:r>
      <w:r w:rsidR="00306935" w:rsidRPr="007323D9">
        <w:rPr>
          <w:rFonts w:ascii="Arial" w:eastAsia="Batang" w:hAnsi="Arial" w:cs="Arial"/>
          <w:sz w:val="20"/>
          <w:szCs w:val="20"/>
        </w:rPr>
        <w:t xml:space="preserve"> ze zm.</w:t>
      </w:r>
      <w:r w:rsidRPr="007323D9">
        <w:rPr>
          <w:rFonts w:ascii="Arial" w:eastAsia="Batang" w:hAnsi="Arial" w:cs="Arial"/>
          <w:sz w:val="20"/>
          <w:szCs w:val="20"/>
        </w:rPr>
        <w:t>) - dalej ustawa o lasach</w:t>
      </w:r>
      <w:r w:rsidR="00306935" w:rsidRPr="007323D9">
        <w:rPr>
          <w:rFonts w:ascii="Arial" w:eastAsia="Batang" w:hAnsi="Arial" w:cs="Arial"/>
          <w:sz w:val="20"/>
          <w:szCs w:val="20"/>
        </w:rPr>
        <w:t xml:space="preserve"> lub wypełnienia obowiązków wynikających z zadań określonych w uproszczonym planie urządzenia lasu lub decyzji, o której mowa w art. 19 ust. 3 </w:t>
      </w:r>
      <w:r w:rsidR="007323D9" w:rsidRPr="007323D9">
        <w:rPr>
          <w:rFonts w:ascii="Arial" w:eastAsia="Batang" w:hAnsi="Arial" w:cs="Arial"/>
          <w:sz w:val="20"/>
          <w:szCs w:val="20"/>
        </w:rPr>
        <w:t xml:space="preserve">ww. </w:t>
      </w:r>
      <w:r w:rsidR="00306935" w:rsidRPr="007323D9">
        <w:rPr>
          <w:rFonts w:ascii="Arial" w:eastAsia="Batang" w:hAnsi="Arial" w:cs="Arial"/>
          <w:sz w:val="20"/>
          <w:szCs w:val="20"/>
        </w:rPr>
        <w:t>ustawy</w:t>
      </w:r>
      <w:r w:rsidRPr="007323D9">
        <w:rPr>
          <w:rFonts w:ascii="Arial" w:eastAsia="Batang" w:hAnsi="Arial" w:cs="Arial"/>
          <w:sz w:val="20"/>
          <w:szCs w:val="20"/>
        </w:rPr>
        <w:t xml:space="preserve">. Podstawą przetwarzania Pani/Pana danych jest </w:t>
      </w:r>
      <w:r w:rsidRPr="007323D9">
        <w:rPr>
          <w:rFonts w:ascii="Arial" w:hAnsi="Arial" w:cs="Arial"/>
          <w:sz w:val="20"/>
          <w:szCs w:val="20"/>
        </w:rPr>
        <w:t xml:space="preserve">art. </w:t>
      </w:r>
      <w:r w:rsidRPr="007323D9">
        <w:rPr>
          <w:rFonts w:ascii="Arial" w:eastAsia="Batang" w:hAnsi="Arial" w:cs="Arial"/>
          <w:sz w:val="20"/>
          <w:szCs w:val="20"/>
        </w:rPr>
        <w:t xml:space="preserve">104 ustawy z dnia 14 czerwca 1960 r. Kodeks Postępowania Administracyjnego (tj. </w:t>
      </w:r>
      <w:r w:rsidR="001402D6">
        <w:rPr>
          <w:rFonts w:ascii="Arial" w:eastAsia="Batang" w:hAnsi="Arial" w:cs="Arial"/>
          <w:sz w:val="20"/>
          <w:szCs w:val="20"/>
        </w:rPr>
        <w:t>Dz. U. z 2022</w:t>
      </w:r>
      <w:r w:rsidR="006B64C7" w:rsidRPr="007323D9">
        <w:rPr>
          <w:rFonts w:ascii="Arial" w:eastAsia="Batang" w:hAnsi="Arial" w:cs="Arial"/>
          <w:sz w:val="20"/>
          <w:szCs w:val="20"/>
        </w:rPr>
        <w:t xml:space="preserve"> roku, poz. </w:t>
      </w:r>
      <w:r w:rsidR="001402D6">
        <w:rPr>
          <w:rFonts w:ascii="Arial" w:eastAsia="Batang" w:hAnsi="Arial" w:cs="Arial"/>
          <w:sz w:val="20"/>
          <w:szCs w:val="20"/>
        </w:rPr>
        <w:t>2000</w:t>
      </w:r>
      <w:r w:rsidRPr="007323D9">
        <w:rPr>
          <w:rFonts w:ascii="Arial" w:eastAsia="Batang" w:hAnsi="Arial" w:cs="Arial"/>
          <w:sz w:val="20"/>
          <w:szCs w:val="20"/>
        </w:rPr>
        <w:t xml:space="preserve"> ze zm.) oraz</w:t>
      </w:r>
      <w:r w:rsidR="006B64C7" w:rsidRPr="007323D9">
        <w:rPr>
          <w:rFonts w:ascii="Arial" w:eastAsia="Batang" w:hAnsi="Arial" w:cs="Arial"/>
          <w:sz w:val="20"/>
          <w:szCs w:val="20"/>
        </w:rPr>
        <w:t xml:space="preserve"> ustawa o lasach – art. 23 ust.4</w:t>
      </w:r>
      <w:r w:rsidRPr="007323D9">
        <w:rPr>
          <w:rFonts w:ascii="Arial" w:eastAsia="Batang" w:hAnsi="Arial" w:cs="Arial"/>
          <w:sz w:val="20"/>
          <w:szCs w:val="20"/>
        </w:rPr>
        <w:t>.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>Pani/Pana dane osobowe będą przechowywane przez okres około 12 lat, w tym 10 lat (kat. BE10) w archiwum zakładowym Starostwa Powiatowego w Mielcu. Po upływie określonego dla tej dokumentacji okresu przechowywania, dokumenty podlegają wybrakowaniu.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dostępu do przenoszenia danych, prawo do wniesienia sprzeciwu, prawo do cofnięcia zgody w dowolnym momencie bez wpływu na zgodność z prawem przetwarzania, którego dokonano na podstawie zgody przed jej cofnięciem.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 xml:space="preserve">Ma Pani/Pan prawo wniesienia skargi do Prezesa Urzędu Ochrony Danych Osobowych, gdy uzna Pani/Pan, iż przetwarzanie danych osobowych dotyczących Pani/Pana narusza przepisy ogólnego rozporządzenia o ochronie danych osobowych z dnia 27 kwietnia 2016 r. 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>Podanie prze Panią/Pana danych osobowych jest wymogiem ustawowym. Jest Pani/Pan zobowiązana(-ny) do ich podania, a konsekwencją niepodania danych osobowych będzie pozostawienie sprawy bez rozpoznania.</w:t>
      </w:r>
    </w:p>
    <w:p w:rsidR="005F5BCA" w:rsidRPr="005F5BCA" w:rsidRDefault="005F5BCA" w:rsidP="005F5BC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5BCA">
        <w:rPr>
          <w:rFonts w:ascii="Arial" w:hAnsi="Arial" w:cs="Arial"/>
          <w:sz w:val="20"/>
          <w:szCs w:val="20"/>
        </w:rPr>
        <w:t>Pani/Pana dane osobowe nie będą przetwarzane w sposób z</w:t>
      </w:r>
      <w:r>
        <w:rPr>
          <w:rFonts w:ascii="Arial" w:hAnsi="Arial" w:cs="Arial"/>
          <w:sz w:val="20"/>
          <w:szCs w:val="20"/>
        </w:rPr>
        <w:t>automatyzowany, w tym również w </w:t>
      </w:r>
      <w:r w:rsidRPr="005F5BCA">
        <w:rPr>
          <w:rFonts w:ascii="Arial" w:hAnsi="Arial" w:cs="Arial"/>
          <w:sz w:val="20"/>
          <w:szCs w:val="20"/>
        </w:rPr>
        <w:t>formie profilowania.</w:t>
      </w:r>
    </w:p>
    <w:p w:rsidR="005F5BCA" w:rsidRDefault="005F5BCA" w:rsidP="005F5BCA">
      <w:pPr>
        <w:ind w:left="360"/>
        <w:jc w:val="right"/>
        <w:rPr>
          <w:rFonts w:ascii="Arial" w:hAnsi="Arial" w:cs="Arial"/>
          <w:i/>
          <w:sz w:val="14"/>
          <w:szCs w:val="14"/>
        </w:rPr>
      </w:pPr>
    </w:p>
    <w:p w:rsidR="005F5BCA" w:rsidRDefault="005F5BCA" w:rsidP="005F5BCA">
      <w:pPr>
        <w:ind w:left="360"/>
        <w:jc w:val="right"/>
        <w:rPr>
          <w:rFonts w:ascii="Arial" w:hAnsi="Arial" w:cs="Arial"/>
          <w:i/>
          <w:sz w:val="14"/>
          <w:szCs w:val="14"/>
        </w:rPr>
      </w:pPr>
    </w:p>
    <w:p w:rsidR="005F5BCA" w:rsidRDefault="005F5BCA" w:rsidP="005F5BCA">
      <w:pPr>
        <w:ind w:left="360"/>
        <w:jc w:val="right"/>
        <w:rPr>
          <w:rFonts w:ascii="Arial" w:hAnsi="Arial" w:cs="Arial"/>
          <w:i/>
          <w:sz w:val="14"/>
          <w:szCs w:val="14"/>
        </w:rPr>
      </w:pPr>
    </w:p>
    <w:p w:rsidR="005F5BCA" w:rsidRPr="005F5BCA" w:rsidRDefault="005F5BCA" w:rsidP="005F5BCA">
      <w:pPr>
        <w:ind w:left="360"/>
        <w:jc w:val="right"/>
        <w:rPr>
          <w:rFonts w:ascii="Arial" w:hAnsi="Arial" w:cs="Arial"/>
          <w:i/>
          <w:sz w:val="16"/>
          <w:szCs w:val="14"/>
        </w:rPr>
      </w:pPr>
      <w:r w:rsidRPr="005F5BCA">
        <w:rPr>
          <w:rFonts w:ascii="Arial" w:hAnsi="Arial" w:cs="Arial"/>
          <w:i/>
          <w:sz w:val="16"/>
          <w:szCs w:val="14"/>
        </w:rPr>
        <w:t>……………………………………………………………..</w:t>
      </w:r>
    </w:p>
    <w:p w:rsidR="005F5BCA" w:rsidRPr="005F5BCA" w:rsidRDefault="005F5BCA" w:rsidP="005F5BCA">
      <w:pPr>
        <w:ind w:left="5316" w:firstLine="348"/>
        <w:jc w:val="center"/>
        <w:rPr>
          <w:rFonts w:ascii="Arial" w:hAnsi="Arial" w:cs="Arial"/>
          <w:i/>
          <w:sz w:val="16"/>
          <w:szCs w:val="14"/>
        </w:rPr>
      </w:pPr>
      <w:r w:rsidRPr="005F5BCA">
        <w:rPr>
          <w:rFonts w:ascii="Arial" w:hAnsi="Arial" w:cs="Arial"/>
          <w:i/>
          <w:sz w:val="16"/>
          <w:szCs w:val="14"/>
        </w:rPr>
        <w:t>(data i podpis wnioskodawcy)</w:t>
      </w:r>
    </w:p>
    <w:p w:rsidR="005F5BCA" w:rsidRDefault="005F5BCA" w:rsidP="00283206">
      <w:pPr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AA3439" w:rsidRPr="00B02E17" w:rsidRDefault="00AA3439" w:rsidP="00AA3439">
      <w:pPr>
        <w:spacing w:line="276" w:lineRule="auto"/>
        <w:ind w:firstLine="397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8"/>
        </w:rPr>
        <w:br w:type="column"/>
      </w:r>
      <w:r w:rsidRPr="00B02E17">
        <w:rPr>
          <w:rFonts w:ascii="Arial Narrow" w:hAnsi="Arial Narrow" w:cs="Arial"/>
          <w:sz w:val="19"/>
          <w:szCs w:val="19"/>
        </w:rPr>
        <w:lastRenderedPageBreak/>
        <w:t>Rozporządzeniem Ministra Klimatu i Środowiska z dnia 27 marca 2023 r. w sprawie wymagań dobrej praktyki w zakresie gospodarki leśnej wprowadzono wymagania dobrej praktyki w zakresie gospodarki leśnej stosowane podczas przygotowywania i realizacji działań w zakresie gospodarki leśnej: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1) nie niszczy się lub nie uszkadza stanowisk, o których mowa w § 2 ust. 1 pkt 4;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2) martwe drzewa pozostawia się, aby zapewnić ciągłość występowania martwego drewna; dąży się do osiągnięcia średniego poziomu około 3-5 martwych drzew w przeliczeniu na 1 ha pow. leśnej, pozostawiając w miarę możliwości drzewa o największym potencjale biocenotycznym, przy czym pozostawione martwe drzewa nie mogą stwarzać: zagrożenia pożarowego lub ryzyka masowego wystąpienia szkodliwych czynników biotycznych, lub zagrożenia dla bezpieczeństwa ludzi i mienia, a w przypadku wystąpienia takiego zagrożenia martwe drzewa obala się i pozostawia;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3) koryt cieków naturalnych nie wykorzystuje się do zrywki drewna;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4) w pasie o szer. 10 m od linii brzegu naturalnych cieków i zbiorników wodnych zaleca się pozostawiać: zwalone pnie drzew, podszyt, duże kamienie w celu ułatwienia zwierzętom migracji oraz dostępu do wody;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5) nie stosuje się rębni zupełnych oraz rębni gniazdowych w pasie o szer. 25 m od linii brzegu naturalnych cieków i zbiorników wodnych;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6) nie stosuje się rębni zupełnych w miejscach pamięci narodowej i kultu religijnego;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7) w miejscach, o których mowa w pkt 5, zaleca się pozostawianie stref buforowych lub ich tworzenie, w szczególności przez sadzenie krzewów oraz pielęgnowanie lasu;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8) wszędzie tam, gdzie wymagają tego środki techniczne planowane do zastosowania przy pracach pielęgnacyjnych, a także podczas pozyskania i zrywki drewna, w drzewostanach wyznacza się szlaki operacyjne w postaci pasów powierzchni leśnej pozbawionej drzew i krzewów, których szerokość i rozmieszczenie umożliwiają prowadzenie prac z zakresu pielęgnowania lasu, pozyskania i zrywki drewna;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9) szlaki operacyjne projektuje się z wykorzystaniem istniejących już szlaków operacyjnych lub luk w drzewostanie, w odległości minimum 10 m od linii brzegu naturalnych cieków i zbiorników wodnych;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10) zaleca się zapewnienie udziału w drzewostanach drzew gatunków wczesnosukcesyjnych, w szczególności brzozy, osiki oraz wierzby iwy, w formie domieszek, w udziale dostosowanym do wymagań typów siedliskowych lasu oraz siedlisk przyrodniczych;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11) enklawy śródleśne na gruntach leśnych, na których stwierdzono stanowiska gatunków chronionych związanych z terenami otwartymi, utrzymuje się w niepogorszonym stanie przez usuwanie, w razie potrzeby, drzew i krzewów;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12) przy wykonywaniu odnowień i zalesień uwzględnia się: regionalne uwarunkowania przyrodnicze, warunki siedliskowe i stan środowiska przyrodniczego, lata dobrego urodzaju nasion;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13) przed wykonaniem prac związanych z użytkowaniem rębnym wybiera się rodzaj cięć odpowiedni do planowanego sposobu odnowienia - naturalnego albo z sadzenia lub siewu;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14) odnowienie naturalne stosuje się w pierwszej kolejności tam, gdzie: drzewostan macierzysty, z którego ma powstać samosiew, jest pełnowartościowy i składa się z gatunków, które są pożądane w tym samym miejscu, warunki siedliskowe umożliwiają uzyskanie odnowienia naturalnego, odnowienie to gwarantuje pokrycie powierzchni uprawy powyżej 50% oraz stabilność drzewostanu;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15) w przypadkach uzasadnionych potrzebami społecznymi lub przyrodniczymi zaleca się stosowanie rębni złożonych z wydłużonym okresem odnowienia;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16) w lasach użytkowanych rębniami zupełnymi pozostawia się do naturalnego obumarcia co najmniej 5% powierzchni drzewostanów w formie biogrup na zrębach lub większych fragmentów drzewostanów przeznaczonych do użytkowania rębnego, chyba że występują przesłanki, w szczególności nadmiernie pojawiające się i rozprzestrzeniające organizmy szkodliwe, uzasadniające odstąpienie od tego wymagania; oceny spełnienia wymagania dokonuje się w cyklu 10-letnim w przypadku drzewostanów objętych planem urządzenia lasu, uproszczonym planem urządzenia lasu albo decyzją wydaną na podstawie inwentaryzacji stanu lasu oraz w cyklu rocznym w przypadku lasów, dla których nie sporządzono tych dokumentów;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17) zaleca się, aby pozostawiane biogrupy, o których mowa w pkt 16, obejmowały drzewa dziuplaste, drzewa z gniazdami wieloletnimi oraz inne żywe drzewa biocenotyczne, w tym drzewa należące do gatunków uznawanych za długowieczne, martwe drzewa wymienione w pkt 2, podmokłe mikrosiedliska lub inne struktury drzewostanu pełniące lokalnie istotne funkcje biocenotyczne;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18) w drzewostanach rębnych użytkowanych rębniami złożonymi pozostawia się 3-5 żywych drzew w przeliczeniu na 1 ha odnawianej powierzchni, przy czym grupuje się je w ramach nieużytkowanych powierzchni z uwzględnieniem zaleceń określonych w pkt 17;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19) ochronę lasu realizuje się w oparciu o zasadę integrowania metod biologicznych, chemicznych i mechanicznych, przy czym chemiczne metody ochrony lasu mogą być stosowane w przypadku braku możliwości lub braku zasadności zastosowania innych metod; przy wyborze środków ochrony roślin należy kierować się bezpieczeństwem ludzi, zwierząt i środowiska;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>20) jeżeli jest to możliwe, przy uwzględnieniu uwarunkowań gospodarczych, społecznych i kulturowych, zaleca się minimalizację działań związanych z pozyskaniem surowca drzewnego na siedliskach bagiennych lub rezygnację z tych działań;</w:t>
      </w:r>
    </w:p>
    <w:p w:rsidR="00AA3439" w:rsidRPr="00B02E17" w:rsidRDefault="00AA3439" w:rsidP="00AA3439">
      <w:pPr>
        <w:ind w:firstLine="397"/>
        <w:jc w:val="both"/>
        <w:rPr>
          <w:rFonts w:ascii="Arial Narrow" w:hAnsi="Arial Narrow" w:cs="Arial"/>
          <w:sz w:val="19"/>
          <w:szCs w:val="19"/>
        </w:rPr>
      </w:pPr>
      <w:r w:rsidRPr="00B02E17">
        <w:rPr>
          <w:rFonts w:ascii="Arial Narrow" w:hAnsi="Arial Narrow" w:cs="Arial"/>
          <w:sz w:val="19"/>
          <w:szCs w:val="19"/>
        </w:rPr>
        <w:t xml:space="preserve">21) w stanie naturalnym lub zbliżonym do naturalnego pozostawia się torfowiska i źródliska oraz śródleśne zbiorniki i cieki wodne. </w:t>
      </w:r>
    </w:p>
    <w:p w:rsidR="00CE4B59" w:rsidRDefault="00CE4B59" w:rsidP="00AA343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A3439" w:rsidRPr="00CA19F6" w:rsidRDefault="00AA3439" w:rsidP="00AA343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A19F6">
        <w:rPr>
          <w:rFonts w:ascii="Arial" w:hAnsi="Arial" w:cs="Arial"/>
          <w:b/>
          <w:sz w:val="20"/>
          <w:szCs w:val="20"/>
        </w:rPr>
        <w:t>Oświadczenie</w:t>
      </w:r>
    </w:p>
    <w:p w:rsidR="00AA3439" w:rsidRDefault="00AA3439" w:rsidP="00AA3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439" w:rsidRDefault="00AA3439" w:rsidP="00AA3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że jestem świadomy wymagań dobrej praktyki w zakresie gospodarki leśnej  stosowanej podczas przygotowywania i realizacji działań w zakresie gospodarki leśnej. </w:t>
      </w:r>
    </w:p>
    <w:p w:rsidR="00AA3439" w:rsidRDefault="00AA3439" w:rsidP="00AA3439">
      <w:pPr>
        <w:jc w:val="both"/>
        <w:rPr>
          <w:rFonts w:ascii="Arial" w:hAnsi="Arial" w:cs="Arial"/>
          <w:sz w:val="18"/>
          <w:szCs w:val="18"/>
        </w:rPr>
      </w:pPr>
    </w:p>
    <w:p w:rsidR="00AA3439" w:rsidRDefault="00AA3439" w:rsidP="00AA3439">
      <w:pPr>
        <w:jc w:val="both"/>
        <w:rPr>
          <w:rFonts w:ascii="Arial" w:hAnsi="Arial" w:cs="Arial"/>
          <w:sz w:val="18"/>
          <w:szCs w:val="18"/>
        </w:rPr>
      </w:pPr>
    </w:p>
    <w:p w:rsidR="00AA3439" w:rsidRDefault="00AA3439" w:rsidP="00AA3439">
      <w:pPr>
        <w:jc w:val="both"/>
        <w:rPr>
          <w:rFonts w:ascii="Arial" w:hAnsi="Arial" w:cs="Arial"/>
          <w:sz w:val="18"/>
          <w:szCs w:val="18"/>
        </w:rPr>
      </w:pPr>
    </w:p>
    <w:p w:rsidR="00AA3439" w:rsidRDefault="00AA3439" w:rsidP="00AA3439">
      <w:pPr>
        <w:ind w:left="360"/>
        <w:jc w:val="right"/>
        <w:rPr>
          <w:rFonts w:ascii="Arial" w:hAnsi="Arial" w:cs="Arial"/>
          <w:i/>
          <w:sz w:val="16"/>
          <w:szCs w:val="14"/>
        </w:rPr>
      </w:pPr>
      <w:r>
        <w:rPr>
          <w:rFonts w:ascii="Arial" w:hAnsi="Arial" w:cs="Arial"/>
          <w:i/>
          <w:sz w:val="16"/>
          <w:szCs w:val="14"/>
        </w:rPr>
        <w:t>……………………………………………………………..</w:t>
      </w:r>
    </w:p>
    <w:p w:rsidR="005F5BCA" w:rsidRPr="00B02E17" w:rsidRDefault="00AA3439" w:rsidP="00B02E17">
      <w:pPr>
        <w:ind w:left="5316" w:firstLine="348"/>
        <w:jc w:val="center"/>
        <w:rPr>
          <w:rFonts w:ascii="Arial" w:hAnsi="Arial" w:cs="Arial"/>
          <w:i/>
          <w:sz w:val="16"/>
          <w:szCs w:val="14"/>
        </w:rPr>
      </w:pPr>
      <w:r>
        <w:rPr>
          <w:rFonts w:ascii="Arial" w:hAnsi="Arial" w:cs="Arial"/>
          <w:i/>
          <w:sz w:val="16"/>
          <w:szCs w:val="14"/>
        </w:rPr>
        <w:t>(data i podpis składającego oświadczenie)</w:t>
      </w:r>
    </w:p>
    <w:sectPr w:rsidR="005F5BCA" w:rsidRPr="00B02E17" w:rsidSect="00CE4B5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4C" w:rsidRDefault="00F3694C" w:rsidP="00C76DEB">
      <w:r>
        <w:separator/>
      </w:r>
    </w:p>
  </w:endnote>
  <w:endnote w:type="continuationSeparator" w:id="0">
    <w:p w:rsidR="00F3694C" w:rsidRDefault="00F3694C" w:rsidP="00C7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EB" w:rsidRPr="001264AF" w:rsidRDefault="00C76DEB" w:rsidP="001264AF">
    <w:pPr>
      <w:pStyle w:val="Stopka"/>
      <w:jc w:val="center"/>
      <w:rPr>
        <w:rFonts w:ascii="Arial" w:hAnsi="Arial" w:cs="Arial"/>
        <w:sz w:val="20"/>
      </w:rPr>
    </w:pPr>
    <w:r w:rsidRPr="00AD19F7">
      <w:rPr>
        <w:rFonts w:ascii="Arial" w:hAnsi="Arial" w:cs="Arial"/>
        <w:sz w:val="20"/>
      </w:rPr>
      <w:t xml:space="preserve">Strona </w:t>
    </w:r>
    <w:r w:rsidRPr="00AD19F7">
      <w:rPr>
        <w:rFonts w:ascii="Arial" w:hAnsi="Arial" w:cs="Arial"/>
        <w:b/>
        <w:bCs/>
        <w:sz w:val="20"/>
      </w:rPr>
      <w:fldChar w:fldCharType="begin"/>
    </w:r>
    <w:r w:rsidRPr="00AD19F7">
      <w:rPr>
        <w:rFonts w:ascii="Arial" w:hAnsi="Arial" w:cs="Arial"/>
        <w:b/>
        <w:bCs/>
        <w:sz w:val="20"/>
      </w:rPr>
      <w:instrText>PAGE</w:instrText>
    </w:r>
    <w:r w:rsidRPr="00AD19F7">
      <w:rPr>
        <w:rFonts w:ascii="Arial" w:hAnsi="Arial" w:cs="Arial"/>
        <w:b/>
        <w:bCs/>
        <w:sz w:val="20"/>
      </w:rPr>
      <w:fldChar w:fldCharType="separate"/>
    </w:r>
    <w:r w:rsidR="00854086">
      <w:rPr>
        <w:rFonts w:ascii="Arial" w:hAnsi="Arial" w:cs="Arial"/>
        <w:b/>
        <w:bCs/>
        <w:noProof/>
        <w:sz w:val="20"/>
      </w:rPr>
      <w:t>1</w:t>
    </w:r>
    <w:r w:rsidRPr="00AD19F7">
      <w:rPr>
        <w:rFonts w:ascii="Arial" w:hAnsi="Arial" w:cs="Arial"/>
        <w:b/>
        <w:bCs/>
        <w:sz w:val="20"/>
      </w:rPr>
      <w:fldChar w:fldCharType="end"/>
    </w:r>
    <w:r w:rsidRPr="00AD19F7">
      <w:rPr>
        <w:rFonts w:ascii="Arial" w:hAnsi="Arial" w:cs="Arial"/>
        <w:sz w:val="20"/>
      </w:rPr>
      <w:t xml:space="preserve"> z </w:t>
    </w:r>
    <w:r w:rsidRPr="00AD19F7">
      <w:rPr>
        <w:rFonts w:ascii="Arial" w:hAnsi="Arial" w:cs="Arial"/>
        <w:b/>
        <w:bCs/>
        <w:sz w:val="20"/>
      </w:rPr>
      <w:fldChar w:fldCharType="begin"/>
    </w:r>
    <w:r w:rsidRPr="00AD19F7">
      <w:rPr>
        <w:rFonts w:ascii="Arial" w:hAnsi="Arial" w:cs="Arial"/>
        <w:b/>
        <w:bCs/>
        <w:sz w:val="20"/>
      </w:rPr>
      <w:instrText>NUMPAGES</w:instrText>
    </w:r>
    <w:r w:rsidRPr="00AD19F7">
      <w:rPr>
        <w:rFonts w:ascii="Arial" w:hAnsi="Arial" w:cs="Arial"/>
        <w:b/>
        <w:bCs/>
        <w:sz w:val="20"/>
      </w:rPr>
      <w:fldChar w:fldCharType="separate"/>
    </w:r>
    <w:r w:rsidR="00854086">
      <w:rPr>
        <w:rFonts w:ascii="Arial" w:hAnsi="Arial" w:cs="Arial"/>
        <w:b/>
        <w:bCs/>
        <w:noProof/>
        <w:sz w:val="20"/>
      </w:rPr>
      <w:t>3</w:t>
    </w:r>
    <w:r w:rsidRPr="00AD19F7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4C" w:rsidRDefault="00F3694C" w:rsidP="00C76DEB">
      <w:r>
        <w:separator/>
      </w:r>
    </w:p>
  </w:footnote>
  <w:footnote w:type="continuationSeparator" w:id="0">
    <w:p w:rsidR="00F3694C" w:rsidRDefault="00F3694C" w:rsidP="00C7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ABE"/>
    <w:multiLevelType w:val="hybridMultilevel"/>
    <w:tmpl w:val="9432CE7A"/>
    <w:lvl w:ilvl="0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CAC01D7"/>
    <w:multiLevelType w:val="hybridMultilevel"/>
    <w:tmpl w:val="17A21438"/>
    <w:lvl w:ilvl="0" w:tplc="022A43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74CA"/>
    <w:multiLevelType w:val="hybridMultilevel"/>
    <w:tmpl w:val="9A96D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51631"/>
    <w:multiLevelType w:val="hybridMultilevel"/>
    <w:tmpl w:val="FDB6C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0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191BF8"/>
    <w:rsid w:val="000418CD"/>
    <w:rsid w:val="000A46AC"/>
    <w:rsid w:val="000D6215"/>
    <w:rsid w:val="001060A9"/>
    <w:rsid w:val="00111205"/>
    <w:rsid w:val="001264AF"/>
    <w:rsid w:val="001402D6"/>
    <w:rsid w:val="00191BF8"/>
    <w:rsid w:val="00212546"/>
    <w:rsid w:val="00283206"/>
    <w:rsid w:val="00297DD0"/>
    <w:rsid w:val="002E1535"/>
    <w:rsid w:val="00306935"/>
    <w:rsid w:val="0035580E"/>
    <w:rsid w:val="00397506"/>
    <w:rsid w:val="003F5FB0"/>
    <w:rsid w:val="004067E4"/>
    <w:rsid w:val="004068CC"/>
    <w:rsid w:val="00430BAB"/>
    <w:rsid w:val="00451B5D"/>
    <w:rsid w:val="004C029E"/>
    <w:rsid w:val="004E6B26"/>
    <w:rsid w:val="005F0142"/>
    <w:rsid w:val="005F5BCA"/>
    <w:rsid w:val="005F761C"/>
    <w:rsid w:val="006B64C7"/>
    <w:rsid w:val="007323D9"/>
    <w:rsid w:val="00752105"/>
    <w:rsid w:val="00854086"/>
    <w:rsid w:val="008770B5"/>
    <w:rsid w:val="00883E3D"/>
    <w:rsid w:val="00961ED3"/>
    <w:rsid w:val="00966DFB"/>
    <w:rsid w:val="00973CEE"/>
    <w:rsid w:val="00A1470A"/>
    <w:rsid w:val="00A156DF"/>
    <w:rsid w:val="00A662A5"/>
    <w:rsid w:val="00AA3439"/>
    <w:rsid w:val="00AD19F7"/>
    <w:rsid w:val="00B02E17"/>
    <w:rsid w:val="00BD63ED"/>
    <w:rsid w:val="00C23051"/>
    <w:rsid w:val="00C76DEB"/>
    <w:rsid w:val="00CA5732"/>
    <w:rsid w:val="00CD081B"/>
    <w:rsid w:val="00CE4B59"/>
    <w:rsid w:val="00D05944"/>
    <w:rsid w:val="00D46A98"/>
    <w:rsid w:val="00D718A9"/>
    <w:rsid w:val="00D77DCA"/>
    <w:rsid w:val="00D96BD1"/>
    <w:rsid w:val="00DD2EE7"/>
    <w:rsid w:val="00E036EF"/>
    <w:rsid w:val="00E40564"/>
    <w:rsid w:val="00E62767"/>
    <w:rsid w:val="00E84981"/>
    <w:rsid w:val="00E920E5"/>
    <w:rsid w:val="00EE1E2D"/>
    <w:rsid w:val="00EE7B89"/>
    <w:rsid w:val="00F11878"/>
    <w:rsid w:val="00F3694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9737-9BAE-4FA9-9630-1504F3A3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7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6D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6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C0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02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F5B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ponline.lexpolonica.pl/plweb-cgi/l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online.lexpolonica.pl/plweb-cgi/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12781</CharactersWithSpaces>
  <SharedDoc>false</SharedDoc>
  <HLinks>
    <vt:vector size="24" baseType="variant"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mailto:iodo@powiat-mielecki.pl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LPA-LP_QL:[{"lo_query_json":"[\"or\",[\"eql\",\"I_PUBLIKATOR\",\"DzU19970880553\"],[\"and\",[\"and\",[\"eql\",\"NR_PUBLIKATOR\",\"DzU19970880553\"],[\"eql\",\"NR_ZALACZNIK\",0]],[\"string_eql\",\"NR_ART_PAR\",\"o61\",null,null]]]","db_name":"lp","act_hits</vt:lpwstr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LPA-LP_QL:[{"lo_query_json":"[\"or\",[\"eql\",\"I_PUBLIKATOR\",\"DzU19970880553\"],[\"and\",[\"and\",[\"eql\",\"NR_PUBLIKATOR\",\"DzU19970880553\"],[\"eql\",\"NR_ZALACZNIK\",0]],[\"string_eql\",\"NR_ART_PAR\",\"o60\",null,null]]]","db_name":"lp","act_hits</vt:lpwstr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LPA-LP_QL:[{"lo_query_json":"[\"or\",[\"eql\",\"I_PUBLIKATOR\",\"DzU19970880553\"],[\"and\",[\"and\",[\"eql\",\"NR_PUBLIKATOR\",\"DzU19970880553\"],[\"eql\",\"NR_ZALACZNIK\",0]],[\"string_eql\",\"NR_ART_PAR\",\"o115\",null,null]]]","db_name":"lp","act_hit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cechowanie drewna</dc:title>
  <dc:subject/>
  <dc:creator>MADZIA</dc:creator>
  <cp:keywords/>
  <cp:lastModifiedBy>l.pezda</cp:lastModifiedBy>
  <cp:revision>2</cp:revision>
  <cp:lastPrinted>2018-12-13T09:21:00Z</cp:lastPrinted>
  <dcterms:created xsi:type="dcterms:W3CDTF">2024-01-11T13:40:00Z</dcterms:created>
  <dcterms:modified xsi:type="dcterms:W3CDTF">2024-01-11T13:40:00Z</dcterms:modified>
</cp:coreProperties>
</file>